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60"/>
        <w:jc w:val="center"/>
      </w:pPr>
      <w:r>
        <w:t xml:space="preserve">Section 170A of the Income Tax Ordinance, 2001</w:t>
      </w:r>
    </w:p>
    <w:p>
      <w:pPr>
        <w:spacing w:after="150"/>
        <w:jc w:val="center"/>
      </w:pPr>
      <w:r>
        <w:rPr>
          <w:i/>
          <w:iCs/>
          <w:color w:val="555555"/>
          <w:sz w:val="22"/>
          <w:szCs w:val="22"/>
        </w:rPr>
        <w:t xml:space="preserve">Electronic Processing and Electronic Issuance of Refunds by the Board</w:t>
      </w:r>
    </w:p>
    <w:p>
      <w:pPr>
        <w:pStyle w:val="Heading1"/>
      </w:pPr>
      <w:r>
        <w:t xml:space="preserve">Overview</w:t>
      </w:r>
    </w:p>
    <w:p>
      <w:pPr>
        <w:spacing w:after="100"/>
      </w:pPr>
      <w:r>
        <w:t xml:space="preserve">Section 170A of the Income Tax Ordinance, 2001 ("the Ordinance") empowers the Federal Board of Revenue (FBR) to process and issue income tax refunds electronically. Titled "Electronic processing and electronic issuance of Refunds by the Board," the provision sits in Part VI (Refunds) of Chapter X of the Ordinance, alongside Section 170 (Refunds) and Section 171 (Additional payment for delayed refunds).</w:t>
      </w:r>
    </w:p>
    <w:p>
      <w:pPr>
        <w:pStyle w:val="Heading1"/>
      </w:pPr>
      <w:r>
        <w:t xml:space="preserve">Legislative Context</w:t>
      </w:r>
    </w:p>
    <w:p>
      <w:pPr>
        <w:spacing w:after="100"/>
      </w:pPr>
      <w:r>
        <w:t xml:space="preserve">Under Section 170, a taxpayer who has paid tax in excess of the amount properly chargeable may apply to the Commissioner Inland Revenue for a refund. Historically, this required the taxpayer to file a refund application, after which the Commissioner would examine the claim, pass a written order, and issue the refund. Section 170A was introduced to move this process away from an application-driven, officer-dependent model toward one where the Board itself can process and issue eligible refunds electronically, without requiring a separate application from the taxpayer in every case.</w:t>
      </w:r>
    </w:p>
    <w:p>
      <w:pPr>
        <w:pStyle w:val="Heading1"/>
      </w:pPr>
      <w:r>
        <w:t xml:space="preserve">Purpose and Intent</w:t>
      </w:r>
    </w:p>
    <w:p>
      <w:pPr>
        <w:spacing w:after="100"/>
      </w:pPr>
      <w:r>
        <w:t xml:space="preserve">The provision is designed to:</w:t>
      </w:r>
    </w:p>
    <w:p>
      <w:pPr>
        <w:pStyle w:val="ListParagraph"/>
        <w:numPr>
          <w:ilvl w:val="0"/>
          <w:numId w:val="1"/>
        </w:numPr>
        <w:spacing w:after="40"/>
      </w:pPr>
      <w:r>
        <w:t xml:space="preserve">Enable automated, system-based verification and processing of eligible income tax refunds;</w:t>
      </w:r>
    </w:p>
    <w:p>
      <w:pPr>
        <w:pStyle w:val="ListParagraph"/>
        <w:numPr>
          <w:ilvl w:val="0"/>
          <w:numId w:val="1"/>
        </w:numPr>
        <w:spacing w:after="40"/>
      </w:pPr>
      <w:r>
        <w:t xml:space="preserve">Reduce reliance on manual scrutiny by individual tax officers, thereby limiting discretion and the potential for delay or misuse;</w:t>
      </w:r>
    </w:p>
    <w:p>
      <w:pPr>
        <w:pStyle w:val="ListParagraph"/>
        <w:numPr>
          <w:ilvl w:val="0"/>
          <w:numId w:val="1"/>
        </w:numPr>
        <w:spacing w:after="40"/>
      </w:pPr>
      <w:r>
        <w:t xml:space="preserve">Allow direct electronic transfer of refunds into a taxpayer's declared bank account; and</w:t>
      </w:r>
    </w:p>
    <w:p>
      <w:pPr>
        <w:pStyle w:val="ListParagraph"/>
        <w:numPr>
          <w:ilvl w:val="0"/>
          <w:numId w:val="1"/>
        </w:numPr>
        <w:spacing w:after="100"/>
      </w:pPr>
      <w:r>
        <w:t xml:space="preserve">Support the FBR's broader shift toward faceless, technology-driven tax administration, consistent with reforms such as the National Faceless Centre and faceless audit and appeal mechanisms introduced elsewhere in the Ordinance.</w:t>
      </w:r>
    </w:p>
    <w:p>
      <w:pPr>
        <w:pStyle w:val="Heading1"/>
      </w:pPr>
      <w:r>
        <w:t xml:space="preserve">Implementation Status</w:t>
      </w:r>
    </w:p>
    <w:p>
      <w:pPr>
        <w:spacing w:after="100"/>
      </w:pPr>
      <w:r>
        <w:t xml:space="preserve">Although Section 170A exists on the statute book, its practical implementation has lagged. As of the most recent public reporting, the FBR had not yet notified comprehensive rules or procedures to operationalize the section, and the underlying IT module for automated refund processing remained under development by the Board's IT Wing. This gap between statutory authority and operational rollout is the backdrop against which the Federal Tax Ombudsman (FTO) has urged the FBR to launch a Faceless Income Tax Refund System — in effect, calling on the FBR to give practical effect to the mechanism already contemplated by Section 170A.</w:t>
      </w:r>
    </w:p>
    <w:p>
      <w:pPr>
        <w:pStyle w:val="Heading1"/>
      </w:pPr>
      <w:r>
        <w:t xml:space="preserve">Relationship to Sections 170 and 171</w:t>
      </w:r>
    </w:p>
    <w:p>
      <w:pPr>
        <w:spacing w:after="100"/>
      </w:pPr>
      <w:r>
        <w:t xml:space="preserve">Section 170A does not replace Sections 170 and 171; it operates alongside them. Section 170 remains the taxpayer's general right to apply for a refund of excess tax paid. Section 171 continues to entitle a taxpayer to additional payment (compensation) where a due refund is delayed. Section 170A adds a parallel, automated route by which the Board can identify and issue eligible refunds electronically, which — if fully implemented — would reduce the number of cases that fall into delay and therefore attract compensation under Section 171 in the first place.</w:t>
      </w:r>
    </w:p>
    <w:p>
      <w:pPr>
        <w:pStyle w:val="Heading1"/>
      </w:pPr>
      <w:r>
        <w:t xml:space="preserve">Practical Significance for Taxpayers</w:t>
      </w:r>
    </w:p>
    <w:p>
      <w:pPr>
        <w:spacing w:after="100"/>
      </w:pPr>
      <w:r>
        <w:t xml:space="preserve">For taxpayers and practitioners, Section 170A is significant less for what it currently delivers than for what it promises: a refund process where eligibility is verified by the system rather than a revenue officer, and payment is credited directly to the taxpayer's bank account without the discretionary delays that have long characterized manual refund processing. Until implementing rules and the supporting IT infrastructure are fully in place, however, taxpayers largely continue to rely on the application-based procedure under Section 170, with recourse to compensation under Section 171 in case of delay, and to the FTO where maladministration is alleged.</w:t>
      </w:r>
    </w:p>
    <w:p>
      <w:pPr>
        <w:pBdr>
          <w:top w:val="single" w:color="AAAAAA" w:sz="6"/>
        </w:pBdr>
        <w:spacing w:before="150"/>
      </w:pPr>
      <w:r>
        <w:rPr>
          <w:i/>
          <w:iCs/>
          <w:color w:val="777777"/>
          <w:sz w:val="18"/>
          <w:szCs w:val="18"/>
        </w:rPr>
        <w:t xml:space="preserve">This note is for general informational purposes – </w:t>
      </w:r>
      <w:hyperlink w:history="1" r:id="rIdqrvrlypi5ihqzfv71c5po">
        <w:r>
          <w:rPr>
            <w:i/>
            <w:iCs/>
            <w:color w:val="0563C1"/>
            <w:sz w:val="18"/>
            <w:szCs w:val="18"/>
            <w:u w:val="single"/>
          </w:rPr>
          <w:t xml:space="preserve">www.lawtoday.com.pk</w:t>
        </w:r>
      </w:hyperlink>
      <w:r>
        <w:rPr>
          <w:i/>
          <w:iCs/>
          <w:color w:val="777777"/>
          <w:sz w:val="18"/>
          <w:szCs w:val="18"/>
        </w:rPr>
        <w:t xml:space="preserve"> team uploaded it after research – for more to know about process of filing complaint under FEDERAL TAX OMBUDSMAN ORDINANCE, 2000 feel free to contact – khudayarkhan@gmail.com</w:t>
      </w:r>
    </w:p>
    <w:sectPr>
      <w:pgSz w:w="12240" w:h="15840" w:orient="portrait"/>
      <w:pgMar w:top="720" w:right="1080" w:bottom="72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rvrlypi5ihqzfv71c5po" Type="http://schemas.openxmlformats.org/officeDocument/2006/relationships/hyperlink" Target="https://www.lawtoday.com.pk"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2026-07-31T16:36:37.722Z</dcterms:created>
  <dcterms:modified xsi:type="dcterms:W3CDTF">2026-07-31T16:36:37.736Z</dcterms:modified>
</cp:coreProperties>
</file>

<file path=docProps/custom.xml><?xml version="1.0" encoding="utf-8"?>
<Properties xmlns="http://schemas.openxmlformats.org/officeDocument/2006/custom-properties" xmlns:vt="http://schemas.openxmlformats.org/officeDocument/2006/docPropsVTypes"/>
</file>